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96" w:rsidRPr="007D5152" w:rsidRDefault="00710C96" w:rsidP="00710C96">
      <w:pPr>
        <w:pStyle w:val="Textoindependiente"/>
        <w:spacing w:before="1" w:line="252" w:lineRule="exact"/>
        <w:ind w:left="682"/>
        <w:jc w:val="center"/>
        <w:rPr>
          <w:rFonts w:ascii="Century Gothic" w:hAnsi="Century Gothic"/>
        </w:rPr>
      </w:pPr>
      <w:bookmarkStart w:id="0" w:name="_GoBack"/>
      <w:bookmarkEnd w:id="0"/>
      <w:r w:rsidRPr="007D5152">
        <w:rPr>
          <w:rFonts w:ascii="Century Gothic" w:hAnsi="Century Gothic"/>
        </w:rPr>
        <w:t>ORDEN DEL DÍA</w:t>
      </w:r>
    </w:p>
    <w:p w:rsidR="00710C96" w:rsidRPr="007D5152" w:rsidRDefault="00710C96" w:rsidP="00710C96">
      <w:pPr>
        <w:pStyle w:val="Textoindependiente"/>
        <w:spacing w:before="1" w:line="252" w:lineRule="exact"/>
        <w:ind w:left="682"/>
        <w:jc w:val="center"/>
        <w:rPr>
          <w:rFonts w:ascii="Century Gothic" w:hAnsi="Century Gothic"/>
        </w:rPr>
      </w:pPr>
      <w:r w:rsidRPr="007D5152">
        <w:rPr>
          <w:rFonts w:ascii="Century Gothic" w:hAnsi="Century Gothic"/>
        </w:rPr>
        <w:t xml:space="preserve">REUNIÓN DE REVISIÓN </w:t>
      </w:r>
      <w:r w:rsidR="00931706">
        <w:rPr>
          <w:rFonts w:ascii="Century Gothic" w:hAnsi="Century Gothic"/>
        </w:rPr>
        <w:t>POR LA DIRECCIÓN</w:t>
      </w:r>
    </w:p>
    <w:p w:rsidR="00710C96" w:rsidRPr="007D5152" w:rsidRDefault="00710C96" w:rsidP="00D66A6D">
      <w:pPr>
        <w:rPr>
          <w:rFonts w:ascii="Century Gothic" w:eastAsia="Times New Roman" w:hAnsi="Century Gothic" w:cstheme="minorHAnsi"/>
          <w:b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41"/>
      </w:tblGrid>
      <w:tr w:rsidR="00710C96" w:rsidRPr="007D5152" w:rsidTr="00710C96">
        <w:tc>
          <w:tcPr>
            <w:tcW w:w="6771" w:type="dxa"/>
            <w:tcBorders>
              <w:bottom w:val="single" w:sz="4" w:space="0" w:color="auto"/>
            </w:tcBorders>
          </w:tcPr>
          <w:p w:rsidR="00710C96" w:rsidRPr="007D5152" w:rsidRDefault="00710C96" w:rsidP="00D66A6D">
            <w:pPr>
              <w:rPr>
                <w:rFonts w:ascii="Century Gothic" w:eastAsia="Times New Roman" w:hAnsi="Century Gothic" w:cstheme="minorHAnsi"/>
                <w:b/>
                <w:lang w:eastAsia="es-ES"/>
              </w:rPr>
            </w:pPr>
            <w:r w:rsidRPr="007D5152">
              <w:rPr>
                <w:rFonts w:ascii="Century Gothic" w:eastAsia="Times New Roman" w:hAnsi="Century Gothic" w:cstheme="minorHAnsi"/>
                <w:b/>
                <w:lang w:eastAsia="es-ES"/>
              </w:rPr>
              <w:t xml:space="preserve">Fecha: 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710C96" w:rsidRPr="007D5152" w:rsidRDefault="00710C96" w:rsidP="00D66A6D">
            <w:pPr>
              <w:rPr>
                <w:rFonts w:ascii="Century Gothic" w:eastAsia="Times New Roman" w:hAnsi="Century Gothic" w:cstheme="minorHAnsi"/>
                <w:b/>
                <w:lang w:eastAsia="es-ES"/>
              </w:rPr>
            </w:pPr>
            <w:r w:rsidRPr="007D5152">
              <w:rPr>
                <w:rFonts w:ascii="Century Gothic" w:eastAsia="Times New Roman" w:hAnsi="Century Gothic" w:cstheme="minorHAnsi"/>
                <w:b/>
                <w:lang w:eastAsia="es-ES"/>
              </w:rPr>
              <w:t>Hora:</w:t>
            </w:r>
          </w:p>
        </w:tc>
      </w:tr>
    </w:tbl>
    <w:p w:rsidR="00710C96" w:rsidRPr="007D5152" w:rsidRDefault="00710C96" w:rsidP="00710C96">
      <w:pPr>
        <w:pStyle w:val="Prrafodelista"/>
        <w:ind w:left="0"/>
        <w:rPr>
          <w:rFonts w:ascii="Century Gothic" w:eastAsia="Times New Roman" w:hAnsi="Century Gothic" w:cstheme="minorHAnsi"/>
          <w:b/>
          <w:lang w:eastAsia="es-ES"/>
        </w:rPr>
      </w:pPr>
    </w:p>
    <w:p w:rsidR="00710C96" w:rsidRPr="007D5152" w:rsidRDefault="00710C96" w:rsidP="00710C96">
      <w:pPr>
        <w:pStyle w:val="Prrafodelista"/>
        <w:ind w:left="0"/>
        <w:rPr>
          <w:rFonts w:ascii="Century Gothic" w:eastAsia="Times New Roman" w:hAnsi="Century Gothic" w:cstheme="minorHAnsi"/>
          <w:b/>
          <w:lang w:eastAsia="es-ES"/>
        </w:rPr>
      </w:pPr>
    </w:p>
    <w:p w:rsidR="00D66A6D" w:rsidRPr="007D5152" w:rsidRDefault="00D66A6D" w:rsidP="00D66A6D">
      <w:pPr>
        <w:pStyle w:val="Prrafodelista"/>
        <w:numPr>
          <w:ilvl w:val="0"/>
          <w:numId w:val="4"/>
        </w:numPr>
        <w:ind w:left="0"/>
        <w:rPr>
          <w:rFonts w:ascii="Century Gothic" w:eastAsia="Times New Roman" w:hAnsi="Century Gothic" w:cstheme="minorHAnsi"/>
          <w:b/>
          <w:lang w:eastAsia="es-ES"/>
        </w:rPr>
      </w:pPr>
      <w:r w:rsidRPr="007D5152">
        <w:rPr>
          <w:rFonts w:ascii="Century Gothic" w:eastAsia="Times New Roman" w:hAnsi="Century Gothic" w:cstheme="minorHAnsi"/>
          <w:b/>
          <w:lang w:eastAsia="es-ES"/>
        </w:rPr>
        <w:t>Apertura de la Reunión</w:t>
      </w:r>
      <w:r w:rsidR="00BE6E0F">
        <w:rPr>
          <w:rFonts w:ascii="Century Gothic" w:eastAsia="Times New Roman" w:hAnsi="Century Gothic" w:cstheme="minorHAnsi"/>
          <w:b/>
          <w:lang w:eastAsia="es-ES"/>
        </w:rPr>
        <w:t>.</w:t>
      </w:r>
    </w:p>
    <w:p w:rsidR="00D66A6D" w:rsidRPr="007D5152" w:rsidRDefault="00D66A6D" w:rsidP="00D66A6D">
      <w:pPr>
        <w:pStyle w:val="Prrafodelista"/>
        <w:numPr>
          <w:ilvl w:val="0"/>
          <w:numId w:val="4"/>
        </w:numPr>
        <w:ind w:left="0"/>
        <w:rPr>
          <w:rFonts w:ascii="Century Gothic" w:eastAsia="Times New Roman" w:hAnsi="Century Gothic" w:cstheme="minorHAnsi"/>
          <w:b/>
          <w:lang w:eastAsia="es-ES"/>
        </w:rPr>
      </w:pPr>
      <w:r w:rsidRPr="007D5152">
        <w:rPr>
          <w:rFonts w:ascii="Century Gothic" w:eastAsia="Times New Roman" w:hAnsi="Century Gothic" w:cstheme="minorHAnsi"/>
          <w:b/>
          <w:lang w:eastAsia="es-ES"/>
        </w:rPr>
        <w:t>Pase de Lista</w:t>
      </w:r>
      <w:r w:rsidR="00BE6E0F">
        <w:rPr>
          <w:rFonts w:ascii="Century Gothic" w:eastAsia="Times New Roman" w:hAnsi="Century Gothic" w:cstheme="minorHAnsi"/>
          <w:b/>
          <w:lang w:eastAsia="es-ES"/>
        </w:rPr>
        <w:t>.</w:t>
      </w:r>
    </w:p>
    <w:p w:rsidR="00D66A6D" w:rsidRPr="007D5152" w:rsidRDefault="00D66A6D" w:rsidP="00D66A6D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Century Gothic" w:eastAsia="Times New Roman" w:hAnsi="Century Gothic" w:cstheme="minorHAnsi"/>
          <w:b/>
          <w:lang w:eastAsia="es-ES"/>
        </w:rPr>
      </w:pPr>
      <w:r w:rsidRPr="007D5152">
        <w:rPr>
          <w:rFonts w:ascii="Century Gothic" w:eastAsia="Times New Roman" w:hAnsi="Century Gothic" w:cstheme="minorHAnsi"/>
          <w:b/>
          <w:lang w:eastAsia="es-ES"/>
        </w:rPr>
        <w:t>Orden del día</w:t>
      </w:r>
      <w:r w:rsidR="00BE6E0F">
        <w:rPr>
          <w:rFonts w:ascii="Century Gothic" w:eastAsia="Times New Roman" w:hAnsi="Century Gothic" w:cstheme="minorHAnsi"/>
          <w:b/>
          <w:lang w:eastAsia="es-ES"/>
        </w:rPr>
        <w:t>.</w:t>
      </w:r>
    </w:p>
    <w:p w:rsidR="00D66A6D" w:rsidRPr="007D5152" w:rsidRDefault="000D00BD" w:rsidP="00D66A6D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Century Gothic" w:eastAsia="Times New Roman" w:hAnsi="Century Gothic" w:cstheme="minorHAnsi"/>
          <w:b/>
          <w:lang w:eastAsia="es-ES"/>
        </w:rPr>
      </w:pPr>
      <w:r w:rsidRPr="007D5152">
        <w:rPr>
          <w:rFonts w:ascii="Century Gothic" w:eastAsia="Times New Roman" w:hAnsi="Century Gothic" w:cstheme="minorHAnsi"/>
          <w:b/>
          <w:lang w:eastAsia="es-ES"/>
        </w:rPr>
        <w:t>Entrada</w:t>
      </w:r>
      <w:r w:rsidR="0097231D" w:rsidRPr="007D5152">
        <w:rPr>
          <w:rFonts w:ascii="Century Gothic" w:eastAsia="Times New Roman" w:hAnsi="Century Gothic" w:cstheme="minorHAnsi"/>
          <w:b/>
          <w:lang w:eastAsia="es-ES"/>
        </w:rPr>
        <w:t>s</w:t>
      </w:r>
      <w:r w:rsidRPr="007D5152">
        <w:rPr>
          <w:rFonts w:ascii="Century Gothic" w:eastAsia="Times New Roman" w:hAnsi="Century Gothic" w:cstheme="minorHAnsi"/>
          <w:b/>
          <w:lang w:eastAsia="es-ES"/>
        </w:rPr>
        <w:t xml:space="preserve"> de la </w:t>
      </w:r>
      <w:r w:rsidR="00D66A6D" w:rsidRPr="007D5152">
        <w:rPr>
          <w:rFonts w:ascii="Century Gothic" w:eastAsia="Times New Roman" w:hAnsi="Century Gothic" w:cstheme="minorHAnsi"/>
          <w:b/>
          <w:lang w:eastAsia="es-ES"/>
        </w:rPr>
        <w:t>Revisión de Rect</w:t>
      </w:r>
      <w:r w:rsidRPr="007D5152">
        <w:rPr>
          <w:rFonts w:ascii="Century Gothic" w:eastAsia="Times New Roman" w:hAnsi="Century Gothic" w:cstheme="minorHAnsi"/>
          <w:b/>
          <w:lang w:eastAsia="es-ES"/>
        </w:rPr>
        <w:t>oría</w:t>
      </w:r>
    </w:p>
    <w:p w:rsidR="00D66A6D" w:rsidRPr="007D5152" w:rsidRDefault="00D66A6D" w:rsidP="000D00BD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theme="minorHAnsi"/>
          <w:lang w:val="es-MX" w:eastAsia="es-ES"/>
        </w:rPr>
      </w:pPr>
      <w:r w:rsidRPr="007D5152">
        <w:rPr>
          <w:rFonts w:ascii="Century Gothic" w:eastAsia="Times New Roman" w:hAnsi="Century Gothic" w:cstheme="minorHAnsi"/>
          <w:lang w:val="es-MX" w:eastAsia="es-ES"/>
        </w:rPr>
        <w:t>Estado de las acc</w:t>
      </w:r>
      <w:r w:rsidR="0097231D" w:rsidRPr="007D5152">
        <w:rPr>
          <w:rFonts w:ascii="Century Gothic" w:eastAsia="Times New Roman" w:hAnsi="Century Gothic" w:cstheme="minorHAnsi"/>
          <w:lang w:val="es-MX" w:eastAsia="es-ES"/>
        </w:rPr>
        <w:t>iones de las revisiones previas;</w:t>
      </w:r>
    </w:p>
    <w:p w:rsidR="000D00BD" w:rsidRPr="007D5152" w:rsidRDefault="000D00BD" w:rsidP="000D00BD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theme="minorHAnsi"/>
          <w:lang w:val="es-MX" w:eastAsia="es-ES"/>
        </w:rPr>
      </w:pPr>
      <w:r w:rsidRPr="007D5152">
        <w:rPr>
          <w:rFonts w:ascii="Century Gothic" w:eastAsia="Times New Roman" w:hAnsi="Century Gothic" w:cstheme="minorHAnsi"/>
          <w:lang w:eastAsia="es-ES"/>
        </w:rPr>
        <w:t>Cambios en las cuestiones externas e inter</w:t>
      </w:r>
      <w:r w:rsidR="0097231D" w:rsidRPr="007D5152">
        <w:rPr>
          <w:rFonts w:ascii="Century Gothic" w:eastAsia="Times New Roman" w:hAnsi="Century Gothic" w:cstheme="minorHAnsi"/>
          <w:lang w:eastAsia="es-ES"/>
        </w:rPr>
        <w:t>nas que sean pertinentes al SGC;</w:t>
      </w:r>
    </w:p>
    <w:p w:rsidR="000D00BD" w:rsidRPr="007D5152" w:rsidRDefault="000D00BD" w:rsidP="000D00BD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theme="minorHAnsi"/>
          <w:lang w:val="es-MX" w:eastAsia="es-ES"/>
        </w:rPr>
      </w:pPr>
      <w:r w:rsidRPr="007D5152">
        <w:rPr>
          <w:rFonts w:ascii="Century Gothic" w:eastAsia="Times New Roman" w:hAnsi="Century Gothic" w:cstheme="minorHAnsi"/>
          <w:lang w:val="es-MX" w:eastAsia="es-ES"/>
        </w:rPr>
        <w:t xml:space="preserve">Información </w:t>
      </w:r>
      <w:r w:rsidRPr="007D5152">
        <w:rPr>
          <w:rFonts w:ascii="Century Gothic" w:eastAsia="Times New Roman" w:hAnsi="Century Gothic" w:cstheme="minorHAnsi"/>
          <w:lang w:eastAsia="es-ES"/>
        </w:rPr>
        <w:t>sobre el desempeño y eficacia sobre el SGC, relativas a:</w:t>
      </w:r>
    </w:p>
    <w:p w:rsidR="000D00BD" w:rsidRPr="007D5152" w:rsidRDefault="000D00BD" w:rsidP="000D00BD">
      <w:pPr>
        <w:spacing w:after="0" w:line="240" w:lineRule="auto"/>
        <w:rPr>
          <w:rFonts w:ascii="Century Gothic" w:eastAsia="Times New Roman" w:hAnsi="Century Gothic" w:cstheme="minorHAnsi"/>
          <w:lang w:val="es-MX" w:eastAsia="es-ES"/>
        </w:rPr>
      </w:pPr>
    </w:p>
    <w:p w:rsidR="000D00BD" w:rsidRPr="007D5152" w:rsidRDefault="000D00BD" w:rsidP="000D00BD">
      <w:pPr>
        <w:pStyle w:val="Prrafodelista"/>
        <w:numPr>
          <w:ilvl w:val="2"/>
          <w:numId w:val="4"/>
        </w:numPr>
        <w:spacing w:after="0" w:line="240" w:lineRule="auto"/>
        <w:rPr>
          <w:rFonts w:ascii="Century Gothic" w:eastAsia="Times New Roman" w:hAnsi="Century Gothic" w:cstheme="minorHAnsi"/>
          <w:lang w:eastAsia="es-ES"/>
        </w:rPr>
      </w:pPr>
      <w:r w:rsidRPr="007D5152">
        <w:rPr>
          <w:rFonts w:ascii="Century Gothic" w:eastAsia="Times New Roman" w:hAnsi="Century Gothic" w:cstheme="minorHAnsi"/>
          <w:lang w:eastAsia="es-ES"/>
        </w:rPr>
        <w:t>La satisfacción al cliente y la retroalimentación de las partes interesadas</w:t>
      </w:r>
      <w:r w:rsidR="0097231D" w:rsidRPr="007D5152">
        <w:rPr>
          <w:rFonts w:ascii="Century Gothic" w:eastAsia="Times New Roman" w:hAnsi="Century Gothic" w:cstheme="minorHAnsi"/>
          <w:lang w:eastAsia="es-ES"/>
        </w:rPr>
        <w:t>;</w:t>
      </w:r>
    </w:p>
    <w:p w:rsidR="000D00BD" w:rsidRPr="007D5152" w:rsidRDefault="000D00BD" w:rsidP="000D00BD">
      <w:pPr>
        <w:pStyle w:val="Prrafodelista"/>
        <w:numPr>
          <w:ilvl w:val="2"/>
          <w:numId w:val="4"/>
        </w:numPr>
        <w:spacing w:after="0" w:line="240" w:lineRule="auto"/>
        <w:rPr>
          <w:rFonts w:ascii="Century Gothic" w:eastAsia="Times New Roman" w:hAnsi="Century Gothic" w:cstheme="minorHAnsi"/>
          <w:lang w:val="es-MX" w:eastAsia="es-ES"/>
        </w:rPr>
      </w:pPr>
      <w:r w:rsidRPr="007D5152">
        <w:rPr>
          <w:rFonts w:ascii="Century Gothic" w:eastAsia="Times New Roman" w:hAnsi="Century Gothic" w:cstheme="minorHAnsi"/>
          <w:lang w:eastAsia="es-ES"/>
        </w:rPr>
        <w:t>Alcance de los objetivos de calidad</w:t>
      </w:r>
      <w:r w:rsidR="0097231D" w:rsidRPr="007D5152">
        <w:rPr>
          <w:rFonts w:ascii="Century Gothic" w:eastAsia="Times New Roman" w:hAnsi="Century Gothic" w:cstheme="minorHAnsi"/>
          <w:lang w:eastAsia="es-ES"/>
        </w:rPr>
        <w:t>;</w:t>
      </w:r>
    </w:p>
    <w:p w:rsidR="000D00BD" w:rsidRPr="007D5152" w:rsidRDefault="000D00BD" w:rsidP="000D00BD">
      <w:pPr>
        <w:pStyle w:val="Prrafodelista"/>
        <w:numPr>
          <w:ilvl w:val="2"/>
          <w:numId w:val="4"/>
        </w:numPr>
        <w:spacing w:after="0" w:line="240" w:lineRule="auto"/>
        <w:rPr>
          <w:rFonts w:ascii="Century Gothic" w:eastAsia="Times New Roman" w:hAnsi="Century Gothic" w:cstheme="minorHAnsi"/>
          <w:lang w:val="es-MX" w:eastAsia="es-ES"/>
        </w:rPr>
      </w:pPr>
      <w:r w:rsidRPr="007D5152">
        <w:rPr>
          <w:rFonts w:ascii="Century Gothic" w:eastAsia="Times New Roman" w:hAnsi="Century Gothic" w:cstheme="minorHAnsi"/>
          <w:lang w:val="es-MX" w:eastAsia="es-ES"/>
        </w:rPr>
        <w:t>Conformidad de los productos y servicios</w:t>
      </w:r>
      <w:r w:rsidR="0097231D" w:rsidRPr="007D5152">
        <w:rPr>
          <w:rFonts w:ascii="Century Gothic" w:eastAsia="Times New Roman" w:hAnsi="Century Gothic" w:cstheme="minorHAnsi"/>
          <w:lang w:val="es-MX" w:eastAsia="es-ES"/>
        </w:rPr>
        <w:t>;</w:t>
      </w:r>
    </w:p>
    <w:p w:rsidR="000D00BD" w:rsidRPr="007D5152" w:rsidRDefault="000D00BD" w:rsidP="000D00BD">
      <w:pPr>
        <w:pStyle w:val="Prrafodelista"/>
        <w:numPr>
          <w:ilvl w:val="2"/>
          <w:numId w:val="4"/>
        </w:numPr>
        <w:spacing w:after="0" w:line="240" w:lineRule="auto"/>
        <w:rPr>
          <w:rFonts w:ascii="Century Gothic" w:eastAsia="Times New Roman" w:hAnsi="Century Gothic" w:cstheme="minorHAnsi"/>
          <w:lang w:val="es-MX" w:eastAsia="es-ES"/>
        </w:rPr>
      </w:pPr>
      <w:r w:rsidRPr="007D5152">
        <w:rPr>
          <w:rFonts w:ascii="Century Gothic" w:eastAsia="Times New Roman" w:hAnsi="Century Gothic" w:cstheme="minorHAnsi"/>
          <w:lang w:val="es-MX" w:eastAsia="es-ES"/>
        </w:rPr>
        <w:t>No conformidad y acciones correctivas</w:t>
      </w:r>
      <w:r w:rsidR="0097231D" w:rsidRPr="007D5152">
        <w:rPr>
          <w:rFonts w:ascii="Century Gothic" w:eastAsia="Times New Roman" w:hAnsi="Century Gothic" w:cstheme="minorHAnsi"/>
          <w:lang w:val="es-MX" w:eastAsia="es-ES"/>
        </w:rPr>
        <w:t>;</w:t>
      </w:r>
    </w:p>
    <w:p w:rsidR="000D00BD" w:rsidRPr="007D5152" w:rsidRDefault="000D00BD" w:rsidP="000D00BD">
      <w:pPr>
        <w:pStyle w:val="Prrafodelista"/>
        <w:numPr>
          <w:ilvl w:val="2"/>
          <w:numId w:val="4"/>
        </w:numPr>
        <w:spacing w:after="0" w:line="240" w:lineRule="auto"/>
        <w:rPr>
          <w:rFonts w:ascii="Century Gothic" w:eastAsia="Times New Roman" w:hAnsi="Century Gothic" w:cstheme="minorHAnsi"/>
          <w:lang w:val="es-MX" w:eastAsia="es-ES"/>
        </w:rPr>
      </w:pPr>
      <w:r w:rsidRPr="007D5152">
        <w:rPr>
          <w:rFonts w:ascii="Century Gothic" w:eastAsia="Times New Roman" w:hAnsi="Century Gothic" w:cstheme="minorHAnsi"/>
          <w:lang w:val="es-MX" w:eastAsia="es-ES"/>
        </w:rPr>
        <w:t>Resultados y seguimiento de medición</w:t>
      </w:r>
      <w:r w:rsidR="0097231D" w:rsidRPr="007D5152">
        <w:rPr>
          <w:rFonts w:ascii="Century Gothic" w:eastAsia="Times New Roman" w:hAnsi="Century Gothic" w:cstheme="minorHAnsi"/>
          <w:lang w:val="es-MX" w:eastAsia="es-ES"/>
        </w:rPr>
        <w:t>;</w:t>
      </w:r>
    </w:p>
    <w:p w:rsidR="000D00BD" w:rsidRPr="007D5152" w:rsidRDefault="0097231D" w:rsidP="000D00BD">
      <w:pPr>
        <w:pStyle w:val="Prrafodelista"/>
        <w:numPr>
          <w:ilvl w:val="2"/>
          <w:numId w:val="4"/>
        </w:numPr>
        <w:spacing w:after="0" w:line="240" w:lineRule="auto"/>
        <w:rPr>
          <w:rFonts w:ascii="Century Gothic" w:eastAsia="Times New Roman" w:hAnsi="Century Gothic" w:cstheme="minorHAnsi"/>
          <w:lang w:val="es-MX" w:eastAsia="es-ES"/>
        </w:rPr>
      </w:pPr>
      <w:r w:rsidRPr="007D5152">
        <w:rPr>
          <w:rFonts w:ascii="Century Gothic" w:eastAsia="Times New Roman" w:hAnsi="Century Gothic" w:cstheme="minorHAnsi"/>
          <w:lang w:val="es-MX" w:eastAsia="es-ES"/>
        </w:rPr>
        <w:t>Resultados de auditorí</w:t>
      </w:r>
      <w:r w:rsidR="000D00BD" w:rsidRPr="007D5152">
        <w:rPr>
          <w:rFonts w:ascii="Century Gothic" w:eastAsia="Times New Roman" w:hAnsi="Century Gothic" w:cstheme="minorHAnsi"/>
          <w:lang w:val="es-MX" w:eastAsia="es-ES"/>
        </w:rPr>
        <w:t>as</w:t>
      </w:r>
      <w:r w:rsidRPr="007D5152">
        <w:rPr>
          <w:rFonts w:ascii="Century Gothic" w:eastAsia="Times New Roman" w:hAnsi="Century Gothic" w:cstheme="minorHAnsi"/>
          <w:lang w:val="es-MX" w:eastAsia="es-ES"/>
        </w:rPr>
        <w:t>;</w:t>
      </w:r>
    </w:p>
    <w:p w:rsidR="00D66A6D" w:rsidRPr="007D5152" w:rsidRDefault="000D00BD" w:rsidP="000D00BD">
      <w:pPr>
        <w:pStyle w:val="Prrafodelista"/>
        <w:numPr>
          <w:ilvl w:val="2"/>
          <w:numId w:val="4"/>
        </w:numPr>
        <w:spacing w:after="0" w:line="240" w:lineRule="auto"/>
        <w:rPr>
          <w:rFonts w:ascii="Century Gothic" w:eastAsia="Times New Roman" w:hAnsi="Century Gothic" w:cstheme="minorHAnsi"/>
          <w:lang w:eastAsia="es-ES"/>
        </w:rPr>
      </w:pPr>
      <w:r w:rsidRPr="007D5152">
        <w:rPr>
          <w:rFonts w:ascii="Century Gothic" w:eastAsia="Times New Roman" w:hAnsi="Century Gothic" w:cstheme="minorHAnsi"/>
          <w:lang w:val="es-MX" w:eastAsia="es-ES"/>
        </w:rPr>
        <w:t>Desempeño de los proveedores externos</w:t>
      </w:r>
      <w:r w:rsidR="0097231D" w:rsidRPr="007D5152">
        <w:rPr>
          <w:rFonts w:ascii="Century Gothic" w:eastAsia="Times New Roman" w:hAnsi="Century Gothic" w:cstheme="minorHAnsi"/>
          <w:lang w:val="es-MX" w:eastAsia="es-ES"/>
        </w:rPr>
        <w:t>;</w:t>
      </w:r>
    </w:p>
    <w:p w:rsidR="00D66A6D" w:rsidRPr="007D5152" w:rsidRDefault="00D66A6D" w:rsidP="00D66A6D">
      <w:pPr>
        <w:spacing w:after="0" w:line="240" w:lineRule="auto"/>
        <w:ind w:left="360"/>
        <w:rPr>
          <w:rFonts w:ascii="Century Gothic" w:eastAsia="Times New Roman" w:hAnsi="Century Gothic" w:cstheme="minorHAnsi"/>
          <w:lang w:eastAsia="es-ES"/>
        </w:rPr>
      </w:pPr>
    </w:p>
    <w:p w:rsidR="00D66A6D" w:rsidRPr="007D5152" w:rsidRDefault="00D66A6D" w:rsidP="000D00BD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theme="minorHAnsi"/>
          <w:lang w:eastAsia="es-ES"/>
        </w:rPr>
      </w:pPr>
      <w:r w:rsidRPr="007D5152">
        <w:rPr>
          <w:rFonts w:ascii="Century Gothic" w:eastAsia="Times New Roman" w:hAnsi="Century Gothic" w:cstheme="minorHAnsi"/>
          <w:lang w:eastAsia="es-ES"/>
        </w:rPr>
        <w:t>Adecuación de los recursos</w:t>
      </w:r>
      <w:r w:rsidR="0097231D" w:rsidRPr="007D5152">
        <w:rPr>
          <w:rFonts w:ascii="Century Gothic" w:eastAsia="Times New Roman" w:hAnsi="Century Gothic" w:cstheme="minorHAnsi"/>
          <w:lang w:eastAsia="es-ES"/>
        </w:rPr>
        <w:t>;</w:t>
      </w:r>
    </w:p>
    <w:p w:rsidR="000D00BD" w:rsidRPr="007D5152" w:rsidRDefault="000D00BD" w:rsidP="000D00BD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theme="minorHAnsi"/>
          <w:lang w:eastAsia="es-ES"/>
        </w:rPr>
      </w:pPr>
      <w:r w:rsidRPr="007D5152">
        <w:rPr>
          <w:rFonts w:ascii="Century Gothic" w:eastAsia="Times New Roman" w:hAnsi="Century Gothic" w:cstheme="minorHAnsi"/>
          <w:lang w:eastAsia="es-ES"/>
        </w:rPr>
        <w:t>Eficacia de las acciones tomadas para abordar riesgos y oportunidades</w:t>
      </w:r>
      <w:r w:rsidR="0097231D" w:rsidRPr="007D5152">
        <w:rPr>
          <w:rFonts w:ascii="Century Gothic" w:eastAsia="Times New Roman" w:hAnsi="Century Gothic" w:cstheme="minorHAnsi"/>
          <w:lang w:eastAsia="es-ES"/>
        </w:rPr>
        <w:t>;</w:t>
      </w:r>
    </w:p>
    <w:p w:rsidR="000D00BD" w:rsidRPr="007D5152" w:rsidRDefault="000D00BD" w:rsidP="000D00BD">
      <w:pPr>
        <w:pStyle w:val="Prrafodelista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 w:cstheme="minorHAnsi"/>
          <w:lang w:eastAsia="es-ES"/>
        </w:rPr>
      </w:pPr>
      <w:r w:rsidRPr="007D5152">
        <w:rPr>
          <w:rFonts w:ascii="Century Gothic" w:eastAsia="Times New Roman" w:hAnsi="Century Gothic" w:cstheme="minorHAnsi"/>
          <w:lang w:eastAsia="es-ES"/>
        </w:rPr>
        <w:t>Oportunidad de mejora</w:t>
      </w:r>
      <w:r w:rsidR="0097231D" w:rsidRPr="007D5152">
        <w:rPr>
          <w:rFonts w:ascii="Century Gothic" w:eastAsia="Times New Roman" w:hAnsi="Century Gothic" w:cstheme="minorHAnsi"/>
          <w:lang w:eastAsia="es-ES"/>
        </w:rPr>
        <w:t>.</w:t>
      </w:r>
    </w:p>
    <w:p w:rsidR="00D66A6D" w:rsidRDefault="00D66A6D" w:rsidP="00D66A6D">
      <w:pPr>
        <w:pStyle w:val="Prrafodelista"/>
        <w:spacing w:after="0" w:line="240" w:lineRule="auto"/>
        <w:ind w:left="615"/>
        <w:rPr>
          <w:rFonts w:ascii="Century Gothic" w:eastAsia="Times New Roman" w:hAnsi="Century Gothic" w:cstheme="minorHAnsi"/>
          <w:lang w:eastAsia="es-ES"/>
        </w:rPr>
      </w:pPr>
    </w:p>
    <w:p w:rsidR="007D5152" w:rsidRPr="007D5152" w:rsidRDefault="007D5152" w:rsidP="0097231D">
      <w:pPr>
        <w:pStyle w:val="Prrafodelista"/>
        <w:ind w:left="615"/>
        <w:rPr>
          <w:rFonts w:ascii="Century Gothic" w:eastAsia="Times New Roman" w:hAnsi="Century Gothic" w:cstheme="minorHAnsi"/>
          <w:lang w:eastAsia="es-ES"/>
        </w:rPr>
      </w:pPr>
    </w:p>
    <w:p w:rsidR="0097231D" w:rsidRPr="007D5152" w:rsidRDefault="0097231D" w:rsidP="00D66A6D">
      <w:pPr>
        <w:pStyle w:val="Prrafodelista"/>
        <w:numPr>
          <w:ilvl w:val="0"/>
          <w:numId w:val="4"/>
        </w:numPr>
        <w:ind w:left="0"/>
        <w:rPr>
          <w:rFonts w:ascii="Century Gothic" w:eastAsia="Times New Roman" w:hAnsi="Century Gothic" w:cstheme="minorHAnsi"/>
          <w:b/>
          <w:lang w:eastAsia="es-ES"/>
        </w:rPr>
      </w:pPr>
      <w:r w:rsidRPr="007D5152">
        <w:rPr>
          <w:rFonts w:ascii="Century Gothic" w:eastAsia="Times New Roman" w:hAnsi="Century Gothic" w:cstheme="minorHAnsi"/>
          <w:b/>
          <w:lang w:eastAsia="es-ES"/>
        </w:rPr>
        <w:t>Asuntos generales</w:t>
      </w:r>
      <w:r w:rsidR="00BE6E0F">
        <w:rPr>
          <w:rFonts w:ascii="Century Gothic" w:eastAsia="Times New Roman" w:hAnsi="Century Gothic" w:cstheme="minorHAnsi"/>
          <w:b/>
          <w:lang w:eastAsia="es-ES"/>
        </w:rPr>
        <w:t>.</w:t>
      </w:r>
    </w:p>
    <w:p w:rsidR="00D66A6D" w:rsidRPr="007D5152" w:rsidRDefault="00D66A6D" w:rsidP="00D66A6D">
      <w:pPr>
        <w:pStyle w:val="Prrafodelista"/>
        <w:spacing w:after="0" w:line="240" w:lineRule="auto"/>
        <w:ind w:left="615"/>
        <w:rPr>
          <w:rFonts w:ascii="Century Gothic" w:eastAsia="Times New Roman" w:hAnsi="Century Gothic" w:cstheme="minorHAnsi"/>
          <w:lang w:eastAsia="es-ES"/>
        </w:rPr>
      </w:pPr>
    </w:p>
    <w:p w:rsidR="00D66A6D" w:rsidRPr="007D5152" w:rsidRDefault="00D66A6D" w:rsidP="00D66A6D">
      <w:pPr>
        <w:spacing w:after="0" w:line="240" w:lineRule="auto"/>
        <w:rPr>
          <w:rFonts w:ascii="Century Gothic" w:eastAsia="Times New Roman" w:hAnsi="Century Gothic" w:cstheme="minorHAnsi"/>
          <w:b/>
          <w:lang w:eastAsia="es-ES"/>
        </w:rPr>
      </w:pPr>
    </w:p>
    <w:p w:rsidR="00D66A6D" w:rsidRPr="007D5152" w:rsidRDefault="00D66A6D" w:rsidP="00D66A6D">
      <w:pPr>
        <w:rPr>
          <w:rFonts w:ascii="Century Gothic" w:hAnsi="Century Gothic"/>
        </w:rPr>
      </w:pPr>
    </w:p>
    <w:p w:rsidR="00551DDF" w:rsidRPr="007D5152" w:rsidRDefault="00551DDF" w:rsidP="00551DDF">
      <w:pPr>
        <w:keepNext/>
        <w:spacing w:after="0" w:line="240" w:lineRule="auto"/>
        <w:outlineLvl w:val="0"/>
        <w:rPr>
          <w:rFonts w:ascii="Century Gothic" w:eastAsia="Times New Roman" w:hAnsi="Century Gothic" w:cstheme="minorHAnsi"/>
          <w:b/>
          <w:lang w:eastAsia="es-ES"/>
        </w:rPr>
      </w:pPr>
    </w:p>
    <w:sectPr w:rsidR="00551DDF" w:rsidRPr="007D5152" w:rsidSect="00CB534B">
      <w:headerReference w:type="default" r:id="rId8"/>
      <w:footerReference w:type="default" r:id="rId9"/>
      <w:pgSz w:w="12240" w:h="15840"/>
      <w:pgMar w:top="719" w:right="11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EE" w:rsidRDefault="008052EE" w:rsidP="00551DDF">
      <w:pPr>
        <w:spacing w:after="0" w:line="240" w:lineRule="auto"/>
      </w:pPr>
      <w:r>
        <w:separator/>
      </w:r>
    </w:p>
  </w:endnote>
  <w:endnote w:type="continuationSeparator" w:id="0">
    <w:p w:rsidR="008052EE" w:rsidRDefault="008052EE" w:rsidP="0055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96" w:rsidRDefault="00710C96">
    <w:pPr>
      <w:pStyle w:val="Piedepgina"/>
      <w:jc w:val="center"/>
      <w:rPr>
        <w:rFonts w:ascii="Arial" w:hAnsi="Arial" w:cs="Arial"/>
        <w:sz w:val="18"/>
        <w:szCs w:val="18"/>
      </w:rPr>
    </w:pPr>
  </w:p>
  <w:p w:rsidR="00710C96" w:rsidRDefault="00710C96" w:rsidP="00710C96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94FED9" wp14:editId="6801A99D">
              <wp:simplePos x="0" y="0"/>
              <wp:positionH relativeFrom="page">
                <wp:posOffset>734695</wp:posOffset>
              </wp:positionH>
              <wp:positionV relativeFrom="page">
                <wp:posOffset>9260840</wp:posOffset>
              </wp:positionV>
              <wp:extent cx="6525895" cy="218440"/>
              <wp:effectExtent l="127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5895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601"/>
                            <w:gridCol w:w="3420"/>
                            <w:gridCol w:w="3240"/>
                          </w:tblGrid>
                          <w:tr w:rsidR="00710C96">
                            <w:trPr>
                              <w:trHeight w:val="323"/>
                            </w:trPr>
                            <w:tc>
                              <w:tcPr>
                                <w:tcW w:w="3601" w:type="dxa"/>
                              </w:tcPr>
                              <w:p w:rsidR="00710C96" w:rsidRDefault="00710C96" w:rsidP="00BE6E0F">
                                <w:pPr>
                                  <w:pStyle w:val="TableParagraph"/>
                                  <w:spacing w:before="65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Fecha de Revisión: </w:t>
                                </w:r>
                                <w:r w:rsidR="00BE6E0F">
                                  <w:rPr>
                                    <w:sz w:val="16"/>
                                  </w:rPr>
                                  <w:t>10</w:t>
                                </w:r>
                                <w:r w:rsidR="00444EDA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="00BE6E0F">
                                  <w:rPr>
                                    <w:sz w:val="16"/>
                                  </w:rPr>
                                  <w:t>enero</w:t>
                                </w:r>
                                <w:r w:rsidR="00444EDA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="00BE6E0F">
                                  <w:rPr>
                                    <w:sz w:val="16"/>
                                  </w:rPr>
                                  <w:t>2020</w:t>
                                </w:r>
                              </w:p>
                            </w:tc>
                            <w:tc>
                              <w:tcPr>
                                <w:tcW w:w="3420" w:type="dxa"/>
                              </w:tcPr>
                              <w:p w:rsidR="00710C96" w:rsidRDefault="00444EDA" w:rsidP="00444EDA">
                                <w:pPr>
                                  <w:pStyle w:val="TableParagraph"/>
                                  <w:spacing w:before="65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Revisión Núm. 7</w:t>
                                </w:r>
                              </w:p>
                            </w:tc>
                            <w:tc>
                              <w:tcPr>
                                <w:tcW w:w="3240" w:type="dxa"/>
                              </w:tcPr>
                              <w:p w:rsidR="00710C96" w:rsidRDefault="00444EDA" w:rsidP="00C528A1">
                                <w:pPr>
                                  <w:pStyle w:val="TableParagraph"/>
                                  <w:spacing w:before="65"/>
                                  <w:ind w:right="5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RD</w:t>
                                </w:r>
                                <w:r w:rsidR="000D00BD">
                                  <w:rPr>
                                    <w:sz w:val="16"/>
                                  </w:rPr>
                                  <w:t>R-P01-F0</w:t>
                                </w:r>
                                <w:r w:rsidR="00C528A1">
                                  <w:rPr>
                                    <w:sz w:val="1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:rsidR="00710C96" w:rsidRDefault="00710C96" w:rsidP="00710C96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85pt;margin-top:729.2pt;width:513.8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601"/>
                      <w:gridCol w:w="3420"/>
                      <w:gridCol w:w="3240"/>
                    </w:tblGrid>
                    <w:tr w:rsidR="00710C96">
                      <w:trPr>
                        <w:trHeight w:val="323"/>
                      </w:trPr>
                      <w:tc>
                        <w:tcPr>
                          <w:tcW w:w="3601" w:type="dxa"/>
                        </w:tcPr>
                        <w:p w:rsidR="00710C96" w:rsidRDefault="00710C96" w:rsidP="00BE6E0F">
                          <w:pPr>
                            <w:pStyle w:val="TableParagraph"/>
                            <w:spacing w:before="65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Fecha de Revisión: </w:t>
                          </w:r>
                          <w:r w:rsidR="00BE6E0F">
                            <w:rPr>
                              <w:sz w:val="16"/>
                            </w:rPr>
                            <w:t>10</w:t>
                          </w:r>
                          <w:r w:rsidR="00444EDA">
                            <w:rPr>
                              <w:sz w:val="16"/>
                            </w:rPr>
                            <w:t xml:space="preserve"> </w:t>
                          </w:r>
                          <w:r w:rsidR="00BE6E0F">
                            <w:rPr>
                              <w:sz w:val="16"/>
                            </w:rPr>
                            <w:t>enero</w:t>
                          </w:r>
                          <w:r w:rsidR="00444EDA">
                            <w:rPr>
                              <w:sz w:val="16"/>
                            </w:rPr>
                            <w:t xml:space="preserve"> </w:t>
                          </w:r>
                          <w:r w:rsidR="00BE6E0F">
                            <w:rPr>
                              <w:sz w:val="16"/>
                            </w:rPr>
                            <w:t>2020</w:t>
                          </w:r>
                        </w:p>
                      </w:tc>
                      <w:tc>
                        <w:tcPr>
                          <w:tcW w:w="3420" w:type="dxa"/>
                        </w:tcPr>
                        <w:p w:rsidR="00710C96" w:rsidRDefault="00444EDA" w:rsidP="00444EDA">
                          <w:pPr>
                            <w:pStyle w:val="TableParagraph"/>
                            <w:spacing w:before="65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Revisión Núm. 7</w:t>
                          </w:r>
                        </w:p>
                      </w:tc>
                      <w:tc>
                        <w:tcPr>
                          <w:tcW w:w="3240" w:type="dxa"/>
                        </w:tcPr>
                        <w:p w:rsidR="00710C96" w:rsidRDefault="00444EDA" w:rsidP="00C528A1">
                          <w:pPr>
                            <w:pStyle w:val="TableParagraph"/>
                            <w:spacing w:before="65"/>
                            <w:ind w:right="5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RD</w:t>
                          </w:r>
                          <w:r w:rsidR="000D00BD">
                            <w:rPr>
                              <w:sz w:val="16"/>
                            </w:rPr>
                            <w:t>R-P01-F0</w:t>
                          </w:r>
                          <w:r w:rsidR="00C528A1">
                            <w:rPr>
                              <w:sz w:val="16"/>
                            </w:rPr>
                            <w:t>1</w:t>
                          </w:r>
                        </w:p>
                      </w:tc>
                    </w:tr>
                  </w:tbl>
                  <w:p w:rsidR="00710C96" w:rsidRDefault="00710C96" w:rsidP="00710C96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710C96" w:rsidRDefault="00710C96">
    <w:pPr>
      <w:pStyle w:val="Piedepgina"/>
      <w:jc w:val="center"/>
      <w:rPr>
        <w:rFonts w:ascii="Arial" w:hAnsi="Arial" w:cs="Arial"/>
        <w:sz w:val="18"/>
        <w:szCs w:val="18"/>
      </w:rPr>
    </w:pPr>
  </w:p>
  <w:p w:rsidR="00710C96" w:rsidRDefault="00710C96">
    <w:pPr>
      <w:pStyle w:val="Piedepgina"/>
      <w:jc w:val="center"/>
      <w:rPr>
        <w:rFonts w:ascii="Arial" w:hAnsi="Arial" w:cs="Arial"/>
        <w:sz w:val="18"/>
        <w:szCs w:val="18"/>
      </w:rPr>
    </w:pPr>
  </w:p>
  <w:p w:rsidR="00A87506" w:rsidRPr="00A20BF3" w:rsidRDefault="008B49A7">
    <w:pPr>
      <w:pStyle w:val="Piedep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EE" w:rsidRDefault="008052EE" w:rsidP="00551DDF">
      <w:pPr>
        <w:spacing w:after="0" w:line="240" w:lineRule="auto"/>
      </w:pPr>
      <w:r>
        <w:separator/>
      </w:r>
    </w:p>
  </w:footnote>
  <w:footnote w:type="continuationSeparator" w:id="0">
    <w:p w:rsidR="008052EE" w:rsidRDefault="008052EE" w:rsidP="0055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06" w:rsidRPr="00551DDF" w:rsidRDefault="00F411A0" w:rsidP="00C95EE5">
    <w:pPr>
      <w:pStyle w:val="Ttulo1"/>
      <w:rPr>
        <w:rFonts w:ascii="Arial" w:hAnsi="Arial" w:cs="Arial"/>
        <w:b/>
        <w:color w:val="auto"/>
        <w:sz w:val="45"/>
        <w:szCs w:val="45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6BCAD92" wp14:editId="7F5B96CC">
          <wp:simplePos x="0" y="0"/>
          <wp:positionH relativeFrom="column">
            <wp:posOffset>-896620</wp:posOffset>
          </wp:positionH>
          <wp:positionV relativeFrom="paragraph">
            <wp:posOffset>-62865</wp:posOffset>
          </wp:positionV>
          <wp:extent cx="1746250" cy="632460"/>
          <wp:effectExtent l="0" t="0" r="6350" b="0"/>
          <wp:wrapNone/>
          <wp:docPr id="7" name="Imagen 7" descr="1200px LogoB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00px LogoBI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DDF">
      <w:rPr>
        <w:noProof/>
        <w:sz w:val="18"/>
        <w:szCs w:val="1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50B5D" wp14:editId="7781E757">
              <wp:simplePos x="0" y="0"/>
              <wp:positionH relativeFrom="column">
                <wp:posOffset>1120775</wp:posOffset>
              </wp:positionH>
              <wp:positionV relativeFrom="paragraph">
                <wp:posOffset>470535</wp:posOffset>
              </wp:positionV>
              <wp:extent cx="4629150" cy="6985"/>
              <wp:effectExtent l="10160" t="5715" r="8890" b="63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629150" cy="69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5pt,37.05pt" to="452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"/>
          </w:pict>
        </mc:Fallback>
      </mc:AlternateContent>
    </w:r>
    <w:r w:rsidR="007A5928">
      <w:rPr>
        <w:rFonts w:ascii="Arial" w:hAnsi="Arial" w:cs="Arial"/>
        <w:b/>
        <w:sz w:val="45"/>
        <w:szCs w:val="45"/>
      </w:rPr>
      <w:t xml:space="preserve">           </w:t>
    </w:r>
    <w:r w:rsidR="00551DDF">
      <w:rPr>
        <w:rFonts w:ascii="Arial" w:hAnsi="Arial" w:cs="Arial"/>
        <w:b/>
        <w:sz w:val="45"/>
        <w:szCs w:val="45"/>
      </w:rPr>
      <w:t xml:space="preserve"> </w:t>
    </w:r>
    <w:r w:rsidR="007A5928" w:rsidRPr="00551DDF">
      <w:rPr>
        <w:rFonts w:ascii="Arial" w:hAnsi="Arial" w:cs="Arial"/>
        <w:b/>
        <w:color w:val="auto"/>
        <w:sz w:val="45"/>
        <w:szCs w:val="45"/>
      </w:rPr>
      <w:t>Universidad Tecnológica de Cancún</w:t>
    </w:r>
  </w:p>
  <w:p w:rsidR="00A87506" w:rsidRPr="00551DDF" w:rsidRDefault="007A5928" w:rsidP="00C95EE5">
    <w:pPr>
      <w:pStyle w:val="Ttulo3"/>
      <w:jc w:val="center"/>
      <w:rPr>
        <w:rFonts w:cs="Arial"/>
        <w:b/>
        <w:color w:val="auto"/>
        <w:sz w:val="16"/>
        <w:szCs w:val="16"/>
      </w:rPr>
    </w:pPr>
    <w:r w:rsidRPr="00551DDF">
      <w:rPr>
        <w:rFonts w:cs="Arial"/>
        <w:b/>
        <w:color w:val="auto"/>
        <w:sz w:val="16"/>
        <w:szCs w:val="16"/>
      </w:rPr>
      <w:t xml:space="preserve">                             ORG</w:t>
    </w:r>
    <w:r w:rsidR="00551DDF" w:rsidRPr="00551DDF">
      <w:rPr>
        <w:rFonts w:cs="Arial"/>
        <w:b/>
        <w:color w:val="auto"/>
        <w:sz w:val="16"/>
        <w:szCs w:val="16"/>
      </w:rPr>
      <w:t xml:space="preserve">ANISMO PUBLICO DESCENTRALIZADO </w:t>
    </w:r>
    <w:r w:rsidRPr="00551DDF">
      <w:rPr>
        <w:rFonts w:cs="Arial"/>
        <w:b/>
        <w:color w:val="auto"/>
        <w:sz w:val="16"/>
        <w:szCs w:val="16"/>
      </w:rPr>
      <w:t>DEL GOBIERNO DEL ESTADO DE QUINTANA ROO</w:t>
    </w:r>
  </w:p>
  <w:p w:rsidR="00A87506" w:rsidRPr="00C95EE5" w:rsidRDefault="008B49A7" w:rsidP="00C95EE5">
    <w:pPr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B5D"/>
    <w:multiLevelType w:val="hybridMultilevel"/>
    <w:tmpl w:val="6C0EBFE0"/>
    <w:lvl w:ilvl="0" w:tplc="7ED66C06">
      <w:start w:val="1"/>
      <w:numFmt w:val="lowerLetter"/>
      <w:lvlText w:val="%1)"/>
      <w:lvlJc w:val="left"/>
      <w:pPr>
        <w:ind w:left="2487" w:hanging="36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3207" w:hanging="360"/>
      </w:pPr>
    </w:lvl>
    <w:lvl w:ilvl="2" w:tplc="080A001B" w:tentative="1">
      <w:start w:val="1"/>
      <w:numFmt w:val="lowerRoman"/>
      <w:lvlText w:val="%3."/>
      <w:lvlJc w:val="right"/>
      <w:pPr>
        <w:ind w:left="3927" w:hanging="180"/>
      </w:pPr>
    </w:lvl>
    <w:lvl w:ilvl="3" w:tplc="080A000F" w:tentative="1">
      <w:start w:val="1"/>
      <w:numFmt w:val="decimal"/>
      <w:lvlText w:val="%4."/>
      <w:lvlJc w:val="left"/>
      <w:pPr>
        <w:ind w:left="4647" w:hanging="360"/>
      </w:pPr>
    </w:lvl>
    <w:lvl w:ilvl="4" w:tplc="080A0019" w:tentative="1">
      <w:start w:val="1"/>
      <w:numFmt w:val="lowerLetter"/>
      <w:lvlText w:val="%5."/>
      <w:lvlJc w:val="left"/>
      <w:pPr>
        <w:ind w:left="5367" w:hanging="360"/>
      </w:pPr>
    </w:lvl>
    <w:lvl w:ilvl="5" w:tplc="080A001B" w:tentative="1">
      <w:start w:val="1"/>
      <w:numFmt w:val="lowerRoman"/>
      <w:lvlText w:val="%6."/>
      <w:lvlJc w:val="right"/>
      <w:pPr>
        <w:ind w:left="6087" w:hanging="180"/>
      </w:pPr>
    </w:lvl>
    <w:lvl w:ilvl="6" w:tplc="080A000F" w:tentative="1">
      <w:start w:val="1"/>
      <w:numFmt w:val="decimal"/>
      <w:lvlText w:val="%7."/>
      <w:lvlJc w:val="left"/>
      <w:pPr>
        <w:ind w:left="6807" w:hanging="360"/>
      </w:pPr>
    </w:lvl>
    <w:lvl w:ilvl="7" w:tplc="080A0019" w:tentative="1">
      <w:start w:val="1"/>
      <w:numFmt w:val="lowerLetter"/>
      <w:lvlText w:val="%8."/>
      <w:lvlJc w:val="left"/>
      <w:pPr>
        <w:ind w:left="7527" w:hanging="360"/>
      </w:pPr>
    </w:lvl>
    <w:lvl w:ilvl="8" w:tplc="0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4F7C048E"/>
    <w:multiLevelType w:val="hybridMultilevel"/>
    <w:tmpl w:val="76C605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30A24"/>
    <w:multiLevelType w:val="multilevel"/>
    <w:tmpl w:val="625E37A8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5" w:hanging="1800"/>
      </w:pPr>
      <w:rPr>
        <w:rFonts w:hint="default"/>
      </w:rPr>
    </w:lvl>
  </w:abstractNum>
  <w:abstractNum w:abstractNumId="3">
    <w:nsid w:val="5EFA5D3B"/>
    <w:multiLevelType w:val="hybridMultilevel"/>
    <w:tmpl w:val="A7D65BCC"/>
    <w:lvl w:ilvl="0" w:tplc="A962BB4A">
      <w:start w:val="3"/>
      <w:numFmt w:val="bullet"/>
      <w:lvlText w:val="-"/>
      <w:lvlJc w:val="left"/>
      <w:pPr>
        <w:ind w:left="975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DF"/>
    <w:rsid w:val="000D00BD"/>
    <w:rsid w:val="00150CAD"/>
    <w:rsid w:val="0016640F"/>
    <w:rsid w:val="003515E3"/>
    <w:rsid w:val="003A06DC"/>
    <w:rsid w:val="003C7876"/>
    <w:rsid w:val="003D46E5"/>
    <w:rsid w:val="003F0FC5"/>
    <w:rsid w:val="00444EDA"/>
    <w:rsid w:val="00477465"/>
    <w:rsid w:val="00551DDF"/>
    <w:rsid w:val="005C34F7"/>
    <w:rsid w:val="005C514D"/>
    <w:rsid w:val="005E76B2"/>
    <w:rsid w:val="006521CB"/>
    <w:rsid w:val="00710C96"/>
    <w:rsid w:val="007A5928"/>
    <w:rsid w:val="007D5152"/>
    <w:rsid w:val="008052EE"/>
    <w:rsid w:val="0086596A"/>
    <w:rsid w:val="008B49A7"/>
    <w:rsid w:val="008D01CE"/>
    <w:rsid w:val="00931706"/>
    <w:rsid w:val="009662A0"/>
    <w:rsid w:val="0097231D"/>
    <w:rsid w:val="00AD1F58"/>
    <w:rsid w:val="00B4171F"/>
    <w:rsid w:val="00BE6E0F"/>
    <w:rsid w:val="00C3645D"/>
    <w:rsid w:val="00C528A1"/>
    <w:rsid w:val="00CE6703"/>
    <w:rsid w:val="00D66A6D"/>
    <w:rsid w:val="00E335DA"/>
    <w:rsid w:val="00F411A0"/>
    <w:rsid w:val="00F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1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1D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551DD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1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1D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DDF"/>
  </w:style>
  <w:style w:type="paragraph" w:styleId="Piedepgina">
    <w:name w:val="footer"/>
    <w:basedOn w:val="Normal"/>
    <w:link w:val="PiedepginaCar"/>
    <w:uiPriority w:val="99"/>
    <w:unhideWhenUsed/>
    <w:rsid w:val="005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DDF"/>
  </w:style>
  <w:style w:type="character" w:customStyle="1" w:styleId="Ttulo5Car">
    <w:name w:val="Título 5 Car"/>
    <w:basedOn w:val="Fuentedeprrafopredeter"/>
    <w:link w:val="Ttulo5"/>
    <w:rsid w:val="00551DDF"/>
    <w:rPr>
      <w:rFonts w:ascii="Arial" w:eastAsia="Times New Roman" w:hAnsi="Arial" w:cs="Arial"/>
      <w:b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515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F5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10C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10C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s-MX"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0C96"/>
    <w:rPr>
      <w:rFonts w:ascii="Arial" w:eastAsia="Arial" w:hAnsi="Arial" w:cs="Arial"/>
      <w:b/>
      <w:bCs/>
      <w:lang w:val="es-MX" w:eastAsia="es-MX" w:bidi="es-MX"/>
    </w:rPr>
  </w:style>
  <w:style w:type="paragraph" w:customStyle="1" w:styleId="TableParagraph">
    <w:name w:val="Table Paragraph"/>
    <w:basedOn w:val="Normal"/>
    <w:uiPriority w:val="1"/>
    <w:qFormat/>
    <w:rsid w:val="00710C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MX" w:eastAsia="es-MX" w:bidi="es-MX"/>
    </w:rPr>
  </w:style>
  <w:style w:type="table" w:styleId="Tablaconcuadrcula">
    <w:name w:val="Table Grid"/>
    <w:basedOn w:val="Tablanormal"/>
    <w:uiPriority w:val="39"/>
    <w:rsid w:val="0071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1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1D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551DD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1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1D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DDF"/>
  </w:style>
  <w:style w:type="paragraph" w:styleId="Piedepgina">
    <w:name w:val="footer"/>
    <w:basedOn w:val="Normal"/>
    <w:link w:val="PiedepginaCar"/>
    <w:uiPriority w:val="99"/>
    <w:unhideWhenUsed/>
    <w:rsid w:val="005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DDF"/>
  </w:style>
  <w:style w:type="character" w:customStyle="1" w:styleId="Ttulo5Car">
    <w:name w:val="Título 5 Car"/>
    <w:basedOn w:val="Fuentedeprrafopredeter"/>
    <w:link w:val="Ttulo5"/>
    <w:rsid w:val="00551DDF"/>
    <w:rPr>
      <w:rFonts w:ascii="Arial" w:eastAsia="Times New Roman" w:hAnsi="Arial" w:cs="Arial"/>
      <w:b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515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F5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10C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10C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s-MX"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0C96"/>
    <w:rPr>
      <w:rFonts w:ascii="Arial" w:eastAsia="Arial" w:hAnsi="Arial" w:cs="Arial"/>
      <w:b/>
      <w:bCs/>
      <w:lang w:val="es-MX" w:eastAsia="es-MX" w:bidi="es-MX"/>
    </w:rPr>
  </w:style>
  <w:style w:type="paragraph" w:customStyle="1" w:styleId="TableParagraph">
    <w:name w:val="Table Paragraph"/>
    <w:basedOn w:val="Normal"/>
    <w:uiPriority w:val="1"/>
    <w:qFormat/>
    <w:rsid w:val="00710C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MX" w:eastAsia="es-MX" w:bidi="es-MX"/>
    </w:rPr>
  </w:style>
  <w:style w:type="table" w:styleId="Tablaconcuadrcula">
    <w:name w:val="Table Grid"/>
    <w:basedOn w:val="Tablanormal"/>
    <w:uiPriority w:val="39"/>
    <w:rsid w:val="0071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Ivette</dc:creator>
  <cp:lastModifiedBy>Ligia Méndez Curiel</cp:lastModifiedBy>
  <cp:revision>2</cp:revision>
  <cp:lastPrinted>2019-07-09T22:58:00Z</cp:lastPrinted>
  <dcterms:created xsi:type="dcterms:W3CDTF">2020-01-15T18:34:00Z</dcterms:created>
  <dcterms:modified xsi:type="dcterms:W3CDTF">2020-01-15T18:34:00Z</dcterms:modified>
</cp:coreProperties>
</file>